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DCX-141　邹城塌陷区综合治理（济宁邹城）集群作战卡</w:t>
      </w:r>
    </w:p>
    <w:p>
      <w:r>
        <w:t>服务说明：产品谱系「复垦耕地、湿地公园、搬迁安置」；规模「矿区与城市交错，治理需兼顾安置」；对外适配「政府治理」。十二维作战卡。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济宁邹城 / 全省口径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DCX-141 邹城塌陷区综合治理（济宁邹城）集群作战卡</w:t>
            </w:r>
          </w:p>
        </w:tc>
        <w:tc>
          <w:tcPr>
            <w:tcW w:type="dxa" w:w="2351"/>
          </w:tcPr>
          <w:p>
            <w:r>
              <w:t>180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DZ-QR-2026-002693，内容指纹 5fc1e69ffba123bf…；权属依据与授权范围以证书登记为准。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网站：https://daizone.cn/quote/DCX-141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