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DCX-108　杨家埠木版年画与风筝（潍坊寒亭）集群作战卡</w:t>
      </w:r>
    </w:p>
    <w:p>
      <w:r>
        <w:t>服务说明：产品谱系「木版年画、风筝、文创」；规模「杨家埠木版年画为国家级非物质文化遗产；潍坊为“世界风筝都”」；对外适配「欧美、日韩、东南亚」。十二维作战卡。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潍坊寒亭 / 205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DCX-108 杨家埠木版年画与风筝（潍坊寒亭）集群作战卡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DZ-QR-2026-002660，内容指纹 b2e493e26b4895c9…；权属依据与授权范围以证书登记为准。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网站：https://daizone.cn/quote/DCX-108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