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工业制造 × 淄博　｜　编号 industry-ZB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8</w:t>
      </w:r>
    </w:p>
    <w:p>
      <w:r>
        <w:rPr>
          <w:b/>
        </w:rPr>
        <w:t>产业带集群：</w:t>
      </w:r>
      <w:r>
        <w:t>5</w:t>
      </w:r>
    </w:p>
    <w:p>
      <w:r>
        <w:rPr>
          <w:b/>
        </w:rPr>
        <w:t>覆盖 HS4：</w:t>
      </w:r>
      <w:r>
        <w:t>18 个（2811,3901,3902,3907,3920,6907,6910,6911,7018,8311,8413,8414,8479,8481,8483,8514,8543,9026）</w:t>
      </w:r>
    </w:p>
    <w:p>
      <w:r>
        <w:rPr>
          <w:b/>
        </w:rPr>
        <w:t>最新年度中国出口额：</w:t>
      </w:r>
      <w:r>
        <w:t>1582.77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1520.04 亿美元 / 207 国；2023 年 1411.97 亿美元 / 212 国；2024 年 1582.77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169.84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83.05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77.46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73.83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63.77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62.97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31 条（status≠closed）</w:t>
      </w:r>
    </w:p>
    <w:p>
      <w:r>
        <w:rPr>
          <w:b/>
        </w:rPr>
        <w:t>exact/near 撮合：</w:t>
      </w:r>
      <w:r>
        <w:t>93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山东的工业制造是「全链条型」而非「单点型」：家电、铝业、轮胎、造纸、纺织、石化六条主线都自带上游原料与下游配套。这意味着采购方能在省内完成多品类拼柜，而不是分国采购。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《工业制造 × 淄博 出海作战包》PDF/Word（数据底座 + 市场画像 + 准入要点）</w:t>
      </w:r>
    </w:p>
    <w:p>
      <w:r>
        <w:t>2. 该 HS 组合三年双边贸易流明细（18 个 HS4 / 最新年度 2024）</w:t>
      </w:r>
    </w:p>
    <w:p>
      <w:r>
        <w:t>3. 目的国 TOP 采购方与在采需求清单（当前在采 31 条）</w:t>
      </w:r>
    </w:p>
    <w:p>
      <w:r>
        <w:t>4. 撮合记录与对接建议（exact/near 93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