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聊城　｜　编号 industry-LC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4</w:t>
      </w:r>
    </w:p>
    <w:p>
      <w:r>
        <w:rPr>
          <w:b/>
        </w:rPr>
        <w:t>覆盖 HS4：</w:t>
      </w:r>
      <w:r>
        <w:t>7 个（4802,7318,7601,7604,8482,8544,8704）</w:t>
      </w:r>
    </w:p>
    <w:p>
      <w:r>
        <w:rPr>
          <w:b/>
        </w:rPr>
        <w:t>最新年度中国出口额：</w:t>
      </w:r>
      <w:r>
        <w:t>712.08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688.47 亿美元 / 207 国；2023 年 652.21 亿美元 / 208 国；2024 年 712.08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58.66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41.92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38.49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35.32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32.66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30.76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50 条（status≠closed）</w:t>
      </w:r>
    </w:p>
    <w:p>
      <w:r>
        <w:rPr>
          <w:b/>
        </w:rPr>
        <w:t>exact/near 撮合：</w:t>
      </w:r>
      <w:r>
        <w:t>50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聊城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50 条）</w:t>
      </w:r>
    </w:p>
    <w:p>
      <w:r>
        <w:t>4. 撮合记录与对接建议（exact/near 50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