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非遗与手造 × 青岛　｜　编号 heritage-QD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8 个（4602,4911,6913,6914,7018,7116,9601,9703）</w:t>
      </w:r>
    </w:p>
    <w:p>
      <w:r>
        <w:rPr>
          <w:b/>
        </w:rPr>
        <w:t>最新年度中国出口额：</w:t>
      </w:r>
      <w:r>
        <w:t>63.66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70.00 亿美元 / 203 国；2023 年 56.66 亿美元 / 203 国；2024 年 63.66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18.50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3.15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2.73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2.68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2.67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山东非遗的特点是可产业化：潍坊风筝、杨家埠年画、淄博陶瓷琉璃、鲁绣、柳编、草编、黑陶、鲁班锁。这些品类单价不高但文化溢价强，适合做礼品与文创渠道。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《非遗与手造 × 青岛 出海作战包》PDF/Word（数据底座 + 市场画像 + 准入要点）</w:t>
      </w:r>
    </w:p>
    <w:p>
      <w:r>
        <w:t>2. 该 HS 组合三年双边贸易流明细（8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