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农业与农产品 × 聊城　｜　编号 agri-LC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6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5 个（0703,0709,0807,1001,1005）</w:t>
      </w:r>
    </w:p>
    <w:p>
      <w:r>
        <w:rPr>
          <w:b/>
        </w:rPr>
        <w:t>最新年度中国出口额：</w:t>
      </w:r>
      <w:r>
        <w:t>52.76 亿美元（全国口径，非本市出口）</w:t>
      </w:r>
    </w:p>
    <w:p>
      <w:r>
        <w:rPr>
          <w:b/>
        </w:rPr>
        <w:t>贸易伙伴国别：</w:t>
      </w:r>
      <w:r>
        <w:t>169</w:t>
      </w:r>
    </w:p>
    <w:p>
      <w:r>
        <w:t>三年趋势：2022 年 35.25 亿美元 / 154 国；2023 年 40.90 亿美元 / 171 国；2024 年 52.76 亿美元 / 169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8.01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7.43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5.79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5.26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2.72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1.93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18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山东是全国最大的设施农业省，蔬菜、果品、畜禽、水产四类供给同时具备规模化与周年供应能力。岱宗在农业板块做的事，是把「有货」变成「可交割」：定级、预冷、单证、目的国准入，一环不缺。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《农业与农产品 × 聊城 出海作战包》PDF/Word（数据底座 + 市场画像 + 准入要点）</w:t>
      </w:r>
    </w:p>
    <w:p>
      <w:r>
        <w:t>2. 该 HS 组合三年双边贸易流明细（5 个 HS4 / 最新年度 2024）</w:t>
      </w:r>
    </w:p>
    <w:p>
      <w:r>
        <w:t>3. 目的国 TOP 采购方与在采需求清单（当前在采 18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